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298"/>
      </w:tblGrid>
      <w:tr w:rsidR="00BC0045" w:rsidRPr="00BC0045">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298"/>
            </w:tblGrid>
            <w:tr w:rsidR="00BC0045" w:rsidRPr="00BC0045">
              <w:trPr>
                <w:trHeight w:val="555"/>
                <w:tblCellSpacing w:w="0" w:type="dxa"/>
              </w:trPr>
              <w:tc>
                <w:tcPr>
                  <w:tcW w:w="0" w:type="auto"/>
                  <w:vAlign w:val="center"/>
                  <w:hideMark/>
                </w:tcPr>
                <w:p w:rsidR="00BC0045" w:rsidRPr="00BC0045" w:rsidRDefault="00BC0045" w:rsidP="00BC0045">
                  <w:pPr>
                    <w:widowControl/>
                    <w:spacing w:before="300" w:after="225" w:line="432" w:lineRule="auto"/>
                    <w:jc w:val="center"/>
                    <w:rPr>
                      <w:rFonts w:ascii="Arial" w:eastAsia="宋体" w:hAnsi="Arial" w:cs="Arial"/>
                      <w:b/>
                      <w:bCs/>
                      <w:color w:val="185895"/>
                      <w:kern w:val="0"/>
                      <w:sz w:val="36"/>
                      <w:szCs w:val="36"/>
                    </w:rPr>
                  </w:pPr>
                  <w:r w:rsidRPr="00BC0045">
                    <w:rPr>
                      <w:rFonts w:ascii="Arial" w:eastAsia="宋体" w:hAnsi="Arial" w:cs="Arial"/>
                      <w:b/>
                      <w:bCs/>
                      <w:color w:val="185895"/>
                      <w:kern w:val="0"/>
                      <w:sz w:val="36"/>
                      <w:szCs w:val="36"/>
                    </w:rPr>
                    <w:t>关于印发《中央级公益性科研院所基本科研业务费</w:t>
                  </w:r>
                  <w:r w:rsidRPr="00BC0045">
                    <w:rPr>
                      <w:rFonts w:ascii="Arial" w:eastAsia="宋体" w:hAnsi="Arial" w:cs="Arial"/>
                      <w:b/>
                      <w:bCs/>
                      <w:color w:val="185895"/>
                      <w:kern w:val="0"/>
                      <w:sz w:val="36"/>
                      <w:szCs w:val="36"/>
                    </w:rPr>
                    <w:br/>
                  </w:r>
                  <w:r w:rsidRPr="00BC0045">
                    <w:rPr>
                      <w:rFonts w:ascii="Arial" w:eastAsia="宋体" w:hAnsi="Arial" w:cs="Arial"/>
                      <w:b/>
                      <w:bCs/>
                      <w:color w:val="185895"/>
                      <w:kern w:val="0"/>
                      <w:sz w:val="36"/>
                      <w:szCs w:val="36"/>
                    </w:rPr>
                    <w:t>专项资金管理办法》的通知</w:t>
                  </w:r>
                  <w:r w:rsidRPr="00BC0045">
                    <w:rPr>
                      <w:rFonts w:ascii="Arial" w:eastAsia="宋体" w:hAnsi="Arial" w:cs="Arial"/>
                      <w:b/>
                      <w:bCs/>
                      <w:color w:val="185895"/>
                      <w:kern w:val="0"/>
                      <w:sz w:val="36"/>
                      <w:szCs w:val="36"/>
                    </w:rPr>
                    <w:t xml:space="preserve"> </w:t>
                  </w:r>
                </w:p>
              </w:tc>
            </w:tr>
          </w:tbl>
          <w:p w:rsidR="00BC0045" w:rsidRPr="00BC0045" w:rsidRDefault="00BC0045" w:rsidP="00BC0045">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9298"/>
            </w:tblGrid>
            <w:tr w:rsidR="00BC0045" w:rsidRPr="00BC0045">
              <w:trPr>
                <w:trHeight w:val="15"/>
                <w:tblCellSpacing w:w="0" w:type="dxa"/>
              </w:trPr>
              <w:tc>
                <w:tcPr>
                  <w:tcW w:w="0" w:type="auto"/>
                  <w:vAlign w:val="center"/>
                  <w:hideMark/>
                </w:tcPr>
                <w:p w:rsidR="00BC0045" w:rsidRPr="00BC0045" w:rsidRDefault="00BC0045" w:rsidP="00BC0045">
                  <w:pPr>
                    <w:widowControl/>
                    <w:spacing w:line="15" w:lineRule="atLeast"/>
                    <w:jc w:val="left"/>
                    <w:rPr>
                      <w:rFonts w:ascii="Arial" w:eastAsia="宋体" w:hAnsi="Arial" w:cs="Arial"/>
                      <w:kern w:val="0"/>
                      <w:sz w:val="18"/>
                      <w:szCs w:val="18"/>
                    </w:rPr>
                  </w:pPr>
                  <w:r w:rsidRPr="00BC0045">
                    <w:rPr>
                      <w:rFonts w:ascii="Arial" w:eastAsia="宋体" w:hAnsi="Arial" w:cs="Arial"/>
                      <w:kern w:val="0"/>
                      <w:sz w:val="18"/>
                      <w:szCs w:val="18"/>
                    </w:rPr>
                    <w:pict>
                      <v:rect id="_x0000_i1025" style="width:525pt;height:.75pt" o:hrpct="0" o:hralign="center" o:hrstd="t" o:hrnoshade="t" o:hr="t" fillcolor="#99c2e2" stroked="f"/>
                    </w:pict>
                  </w:r>
                </w:p>
              </w:tc>
            </w:tr>
          </w:tbl>
          <w:p w:rsidR="00BC0045" w:rsidRPr="00BC0045" w:rsidRDefault="00BC0045" w:rsidP="00BC0045">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9298"/>
            </w:tblGrid>
            <w:tr w:rsidR="00BC0045" w:rsidRPr="00BC0045">
              <w:trPr>
                <w:tblCellSpacing w:w="0" w:type="dxa"/>
              </w:trPr>
              <w:tc>
                <w:tcPr>
                  <w:tcW w:w="0" w:type="auto"/>
                  <w:vAlign w:val="center"/>
                  <w:hideMark/>
                </w:tcPr>
                <w:p w:rsidR="00BC0045" w:rsidRPr="00BC0045" w:rsidRDefault="00BC0045" w:rsidP="00BC0045">
                  <w:pPr>
                    <w:widowControl/>
                    <w:spacing w:line="432" w:lineRule="auto"/>
                    <w:jc w:val="left"/>
                    <w:rPr>
                      <w:rFonts w:ascii="Arial" w:eastAsia="宋体" w:hAnsi="Arial" w:cs="Arial"/>
                      <w:kern w:val="0"/>
                      <w:sz w:val="24"/>
                      <w:szCs w:val="24"/>
                    </w:rPr>
                  </w:pPr>
                </w:p>
              </w:tc>
            </w:tr>
          </w:tbl>
          <w:p w:rsidR="00BC0045" w:rsidRPr="00BC0045" w:rsidRDefault="00BC0045" w:rsidP="00BC0045">
            <w:pPr>
              <w:widowControl/>
              <w:spacing w:line="432" w:lineRule="auto"/>
              <w:jc w:val="left"/>
              <w:rPr>
                <w:rFonts w:ascii="Arial" w:eastAsia="宋体" w:hAnsi="Arial" w:cs="Arial"/>
                <w:kern w:val="0"/>
                <w:sz w:val="18"/>
                <w:szCs w:val="18"/>
              </w:rPr>
            </w:pPr>
          </w:p>
        </w:tc>
      </w:tr>
      <w:tr w:rsidR="00BC0045" w:rsidRPr="00BC0045">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98"/>
            </w:tblGrid>
            <w:tr w:rsidR="00BC0045" w:rsidRPr="00BC0045">
              <w:trPr>
                <w:trHeight w:val="1140"/>
                <w:tblCellSpacing w:w="0" w:type="dxa"/>
              </w:trPr>
              <w:tc>
                <w:tcPr>
                  <w:tcW w:w="0" w:type="auto"/>
                  <w:shd w:val="clear" w:color="auto" w:fill="FFFFFF"/>
                  <w:hideMark/>
                </w:tcPr>
                <w:tbl>
                  <w:tblPr>
                    <w:tblW w:w="4885" w:type="pct"/>
                    <w:jc w:val="center"/>
                    <w:tblCellSpacing w:w="0" w:type="dxa"/>
                    <w:tblCellMar>
                      <w:left w:w="0" w:type="dxa"/>
                      <w:right w:w="0" w:type="dxa"/>
                    </w:tblCellMar>
                    <w:tblLook w:val="04A0" w:firstRow="1" w:lastRow="0" w:firstColumn="1" w:lastColumn="0" w:noHBand="0" w:noVBand="1"/>
                  </w:tblPr>
                  <w:tblGrid>
                    <w:gridCol w:w="9084"/>
                  </w:tblGrid>
                  <w:tr w:rsidR="00BC0045" w:rsidRPr="00BC0045" w:rsidTr="002143DE">
                    <w:trPr>
                      <w:tblCellSpacing w:w="0" w:type="dxa"/>
                      <w:jc w:val="center"/>
                    </w:trPr>
                    <w:tc>
                      <w:tcPr>
                        <w:tcW w:w="5000" w:type="pct"/>
                        <w:vAlign w:val="center"/>
                        <w:hideMark/>
                      </w:tcPr>
                      <w:p w:rsidR="00BC0045" w:rsidRPr="00BC0045" w:rsidRDefault="00BC0045" w:rsidP="002143DE">
                        <w:pPr>
                          <w:widowControl/>
                          <w:spacing w:before="100" w:beforeAutospacing="1" w:after="100" w:afterAutospacing="1" w:line="360" w:lineRule="auto"/>
                          <w:jc w:val="center"/>
                          <w:rPr>
                            <w:rFonts w:asciiTheme="minorEastAsia" w:hAnsiTheme="minorEastAsia" w:cs="Arial"/>
                            <w:kern w:val="0"/>
                            <w:sz w:val="24"/>
                            <w:szCs w:val="24"/>
                          </w:rPr>
                        </w:pPr>
                        <w:r w:rsidRPr="00BC0045">
                          <w:rPr>
                            <w:rFonts w:asciiTheme="minorEastAsia" w:hAnsiTheme="minorEastAsia" w:cs="Arial"/>
                            <w:kern w:val="0"/>
                            <w:sz w:val="24"/>
                            <w:szCs w:val="24"/>
                          </w:rPr>
                          <w:t xml:space="preserve">　　</w:t>
                        </w:r>
                        <w:proofErr w:type="gramStart"/>
                        <w:r w:rsidRPr="00BC0045">
                          <w:rPr>
                            <w:rFonts w:asciiTheme="minorEastAsia" w:hAnsiTheme="minorEastAsia" w:cs="Arial"/>
                            <w:kern w:val="0"/>
                            <w:sz w:val="24"/>
                            <w:szCs w:val="24"/>
                          </w:rPr>
                          <w:t>财教</w:t>
                        </w:r>
                        <w:proofErr w:type="gramEnd"/>
                        <w:r w:rsidRPr="00BC0045">
                          <w:rPr>
                            <w:rFonts w:asciiTheme="minorEastAsia" w:hAnsiTheme="minorEastAsia" w:cs="Arial"/>
                            <w:kern w:val="0"/>
                            <w:sz w:val="24"/>
                            <w:szCs w:val="24"/>
                          </w:rPr>
                          <w:t>[2016]268号</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国务院有关部委、有关直属机构，高检院，有关人民团体：</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为加强对中央级公益性科研院所自主开展科学研究的稳定支持，进一步规范中央级公益性科研院所基本科研业务费专项资金的使用和管理，提高资金使用效益，根据《中共中央 国务院关于深化体制机制改革 加快实施创新驱动发展战略的若干意见》、《国务院关于改进加强中央财政科研项目和资金管理的若干意见》（国发〔2014〕11号）、《国务院印发关于深化中央财政科技计划（专项、基金等）管理改革方案的通知》（国发〔2014〕64号）以及预算管理改革的有关要求，我部对《中央级公益性科研院所基本科研业务费专项资金管理办法（试行）》（</w:t>
                        </w:r>
                        <w:proofErr w:type="gramStart"/>
                        <w:r w:rsidRPr="00BC0045">
                          <w:rPr>
                            <w:rFonts w:asciiTheme="minorEastAsia" w:hAnsiTheme="minorEastAsia" w:cs="Arial"/>
                            <w:kern w:val="0"/>
                            <w:sz w:val="24"/>
                            <w:szCs w:val="24"/>
                          </w:rPr>
                          <w:t>财教</w:t>
                        </w:r>
                        <w:proofErr w:type="gramEnd"/>
                        <w:r w:rsidRPr="00BC0045">
                          <w:rPr>
                            <w:rFonts w:asciiTheme="minorEastAsia" w:hAnsiTheme="minorEastAsia" w:cs="Arial"/>
                            <w:kern w:val="0"/>
                            <w:sz w:val="24"/>
                            <w:szCs w:val="24"/>
                          </w:rPr>
                          <w:t xml:space="preserve">[2006]288号）进行了修订。现予印发，请遵照执行。　</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附件：中央级公益性科研院所基本科研业务费专项资金管理办法</w:t>
                        </w:r>
                      </w:p>
                      <w:p w:rsidR="00BC0045" w:rsidRPr="00BC0045" w:rsidRDefault="00BC0045" w:rsidP="002143DE">
                        <w:pPr>
                          <w:widowControl/>
                          <w:spacing w:before="100" w:beforeAutospacing="1" w:after="100" w:afterAutospacing="1" w:line="360" w:lineRule="auto"/>
                          <w:jc w:val="right"/>
                          <w:rPr>
                            <w:rFonts w:asciiTheme="minorEastAsia" w:hAnsiTheme="minorEastAsia" w:cs="Arial"/>
                            <w:kern w:val="0"/>
                            <w:sz w:val="24"/>
                            <w:szCs w:val="24"/>
                          </w:rPr>
                        </w:pPr>
                        <w:r w:rsidRPr="00BC0045">
                          <w:rPr>
                            <w:rFonts w:asciiTheme="minorEastAsia" w:hAnsiTheme="minorEastAsia" w:cs="Arial"/>
                            <w:kern w:val="0"/>
                            <w:sz w:val="24"/>
                            <w:szCs w:val="24"/>
                          </w:rPr>
                          <w:t xml:space="preserve">　　财政部</w:t>
                        </w:r>
                      </w:p>
                      <w:p w:rsidR="00BC0045" w:rsidRPr="00BC0045" w:rsidRDefault="00BC0045" w:rsidP="002143DE">
                        <w:pPr>
                          <w:widowControl/>
                          <w:spacing w:before="100" w:beforeAutospacing="1" w:after="100" w:afterAutospacing="1" w:line="360" w:lineRule="auto"/>
                          <w:jc w:val="right"/>
                          <w:rPr>
                            <w:rFonts w:asciiTheme="minorEastAsia" w:hAnsiTheme="minorEastAsia" w:cs="Arial"/>
                            <w:kern w:val="0"/>
                            <w:sz w:val="24"/>
                            <w:szCs w:val="24"/>
                          </w:rPr>
                        </w:pPr>
                        <w:r w:rsidRPr="00BC0045">
                          <w:rPr>
                            <w:rFonts w:asciiTheme="minorEastAsia" w:hAnsiTheme="minorEastAsia" w:cs="Arial"/>
                            <w:kern w:val="0"/>
                            <w:sz w:val="24"/>
                            <w:szCs w:val="24"/>
                          </w:rPr>
                          <w:t xml:space="preserve">　　2016年7月19日</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附件：</w:t>
                        </w:r>
                      </w:p>
                      <w:p w:rsidR="00BC0045" w:rsidRPr="00BC0045" w:rsidRDefault="00BC0045" w:rsidP="002143DE">
                        <w:pPr>
                          <w:widowControl/>
                          <w:spacing w:before="100" w:beforeAutospacing="1" w:after="100" w:afterAutospacing="1" w:line="360" w:lineRule="auto"/>
                          <w:jc w:val="center"/>
                          <w:rPr>
                            <w:rFonts w:asciiTheme="minorEastAsia" w:hAnsiTheme="minorEastAsia" w:cs="Arial"/>
                            <w:kern w:val="0"/>
                            <w:sz w:val="24"/>
                            <w:szCs w:val="24"/>
                          </w:rPr>
                        </w:pPr>
                        <w:r w:rsidRPr="00BC0045">
                          <w:rPr>
                            <w:rFonts w:asciiTheme="minorEastAsia" w:hAnsiTheme="minorEastAsia" w:cs="Arial"/>
                            <w:b/>
                            <w:bCs/>
                            <w:kern w:val="0"/>
                            <w:sz w:val="24"/>
                            <w:szCs w:val="24"/>
                          </w:rPr>
                          <w:t>中央级公益性科研院所基本科研业务费</w:t>
                        </w:r>
                        <w:r w:rsidRPr="00BC0045">
                          <w:rPr>
                            <w:rFonts w:asciiTheme="minorEastAsia" w:hAnsiTheme="minorEastAsia" w:cs="Arial"/>
                            <w:b/>
                            <w:bCs/>
                            <w:kern w:val="0"/>
                            <w:sz w:val="24"/>
                            <w:szCs w:val="24"/>
                          </w:rPr>
                          <w:br/>
                          <w:t>专项资金管理办法</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第一条  为贯彻落实《中共中央 国务院关于深化体制机制改革 加快实施创新驱动发展战略的若干意见》、《国务院关于改进加强中央财政科研项目和资金管理的若干意见》（国发〔2014〕11号）、《国务院印发关于深化中央财政科技计划（专项、基金等）管理改革方案的通知》（国发〔2014〕64号）的有关要求，进一步加大对中央级公益性科研院所（以下简称科研院所）的稳定支持力度，充分发挥科研院所在国家创新体系中</w:t>
                        </w:r>
                        <w:r w:rsidRPr="00BC0045">
                          <w:rPr>
                            <w:rFonts w:asciiTheme="minorEastAsia" w:hAnsiTheme="minorEastAsia" w:cs="Arial"/>
                            <w:kern w:val="0"/>
                            <w:sz w:val="24"/>
                            <w:szCs w:val="24"/>
                          </w:rPr>
                          <w:lastRenderedPageBreak/>
                          <w:t>的骨干和引领作用，加强对中央级公益性科研院所基本科研业务费专项资金（以下简称基本科研业务费）的管理和使用，提高资金使用效益，依据国家有关规定以及预算管理改革的要求，制定本办法。</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第二条  基本科研业务费用于支持科研院所开展符合公益职能定位，代表学科发展方向，体现前瞻布局的自主选题研究工作。基本科研业务费的使用方向包括：</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（一）由科研院所自主选题开展的科研工作；</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（二）所属行业基础性、支撑性、应急性科研工作；</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（三）团队建设及人才培养；</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（四）开展国际科技合作与交流；</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（五）科技基础性工作等其他工作。</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第三条 基本科研业务费的管理和使用原则包括：</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（一）稳定支持，长效机制。基本科研业务费稳定支持科研院所培育优秀科研人才和团队，为科研院所形成有益于持续发展、不断创新的长效机制提供经费支持。</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（二）分类分档，动态调整。财政部根据院所规模、学科特点、绩效评价结果等，结合财力可能，确定分类分档支持标准，并结合科研院所预算执行情况等因素每年对经费进行动态调整。</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三)依托院所、突出重点。基本科研业务费的使用应当依托科研院所已有的科研条件、设施和环境，优先支持有助于科研院所符合职能定位、实现学科布局与发展规划目标、有利于培育优秀科研人才和团队的选题以及所属行业基础性、支撑性、应急性科研工作。</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（四）专款专用，严格管理。科研院所应当充分发挥基本科研业务费管理的法人责任，建立健全基本科研业务费内部管理制度，将基本科研业务费纳入依托单位财务统一管理，单独核算，专款专用。</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lastRenderedPageBreak/>
                          <w:t xml:space="preserve">　　第四条  财政部负责核定科研院所基本科研业务费支出规划及年度预算，以项目支出“基本科研业务费”方式随部门预算下达。</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第五条  主管部门的主要职责包括：</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（一）应当按照部门预算管理的有关要求，加强对基本科研业务费的管理；</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（二）负责根据行业科技规划、行业应用需求以及院所职能定位，提出通过基本科研业务费支持的行业基础性、支撑性、应急性科研工作要求；</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（三）负责组织基本科研业务费中期绩效评价。中期绩效评价一般每三年开展一次，对基本科研业务费管理和使用绩效进行全面考核。中期绩效评价结果需报财政部备案，作为以后年度预算安排的重要依据。</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第六条   科研院所为基本科研业务费管理和使用的责任主体，主要职责包括：</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（一）切实履行在资金申请、资金分配、资金使用、监督检查等方面的管理职责，建立常态化的自查自纠机制。</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（二）负责组建基本科研业务费管理咨询委员会。</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（三）负责开展基本科研业务费使用的年度监管，主要包括科研进展、科研产出、人才团队建设、资金使用等方面。</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第七条 管理咨询委员会委员应包括主管部门科技管理部门、财务管理部门和科研院所负责人、科研人员以及经济或财务管理专家等，如设有学术委员会的科研院所，管理咨询委员会还应包括学术委员会负责人。院所两级法人的单位，应同时包括院所两级负责人。根据实际需要，可以邀请来自行业协会、其他科研院所以及高等院校的专家参加管理咨询委员会。管理咨询委员会设主任委员一名，负责主持管理咨询委员会工作，一般由科研院所负责人担任（院所两级法人的单位，由院级法人单位负责人担任）。管理咨询委员会委员应根据实际工作需要定期或不定期调整。</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第八条 主管部门应当在每年9月底之前提出下年通过基本科研业务费支持的行业</w:t>
                        </w:r>
                        <w:r w:rsidRPr="00BC0045">
                          <w:rPr>
                            <w:rFonts w:asciiTheme="minorEastAsia" w:hAnsiTheme="minorEastAsia" w:cs="Arial"/>
                            <w:kern w:val="0"/>
                            <w:sz w:val="24"/>
                            <w:szCs w:val="24"/>
                          </w:rPr>
                          <w:lastRenderedPageBreak/>
                          <w:t>基础性、支撑性、应急性科研工作的具体任务。</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第九条  科研院所根据主管部门提出的工作任务以及拟自主开展的有关工作，形成基本科研业务费年度支持项目及预算建议方案，提交管理咨询委员会进行咨询审议。</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第十条  管理咨询委员会应当建立回避制度，并在2/3以上委员到会时开展咨询审议。咨询审议意见分为同意资助和不予资助，并对同意资助项目按照优先顺序排序。咨询审议意见是科研院所确定基本科研业务费分配结果的主要依据。</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第十一条  科研院所根据咨询审议意见以及基本科研业务费年度预算规模，确定年度资助项目。管理咨询委员会咨询审议意见以及年度资助项目在科研院所内部公示(涉密项目除外)后，科研院所应当与资助对象或团队负责人签订工作任务书。资助对象或团队负责人一般为科研院所在编人员。</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如需调整工作任务，需经管理咨询委员会审议后，经科研院所负责人批准，重新签订工作任务书。工作任务书格式由科研院所自行确定，其中应当明确预算数和绩效目标。</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科研院所为院所两级法人的单位，院级法人与所级法人签订工作任务书；所级法人根据与院级法人签订的工作任务书，与资助对象或团队负责人签订工作任务书。</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第十二条  科研院所应当在每年度终了后三个月内，向主管部门提交年度经费使用情况报告。</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第十三条  科研院所可以使用基本科研业务费联合院（所）外单位共同开展研究工作。合作研究经费一般不能拨至科研院所以外单位，确需</w:t>
                        </w:r>
                        <w:proofErr w:type="gramStart"/>
                        <w:r w:rsidRPr="00BC0045">
                          <w:rPr>
                            <w:rFonts w:asciiTheme="minorEastAsia" w:hAnsiTheme="minorEastAsia" w:cs="Arial"/>
                            <w:kern w:val="0"/>
                            <w:sz w:val="24"/>
                            <w:szCs w:val="24"/>
                          </w:rPr>
                          <w:t>外拨时</w:t>
                        </w:r>
                        <w:proofErr w:type="gramEnd"/>
                        <w:r w:rsidRPr="00BC0045">
                          <w:rPr>
                            <w:rFonts w:asciiTheme="minorEastAsia" w:hAnsiTheme="minorEastAsia" w:cs="Arial"/>
                            <w:kern w:val="0"/>
                            <w:sz w:val="24"/>
                            <w:szCs w:val="24"/>
                          </w:rPr>
                          <w:t>应经管理咨询委员会审议通过，并签订科研任务合同等。</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第十四条  科研院所基本科研业务费中支持40岁以下青年科研人员牵头负责科研工作的比例，一般不得低于年度预算的30%。</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第十五条  基本科研业务费具体开支范围由科研院所按照国家有关科研经费管理规定，结合本单位实际情况确定。但不得开支有工资性收入的人员工资、奖金、津补贴和福利支出，不得分摊院所公共管理和运行费用(</w:t>
                        </w:r>
                        <w:proofErr w:type="gramStart"/>
                        <w:r w:rsidRPr="00BC0045">
                          <w:rPr>
                            <w:rFonts w:asciiTheme="minorEastAsia" w:hAnsiTheme="minorEastAsia" w:cs="Arial"/>
                            <w:kern w:val="0"/>
                            <w:sz w:val="24"/>
                            <w:szCs w:val="24"/>
                          </w:rPr>
                          <w:t>含科研</w:t>
                        </w:r>
                        <w:proofErr w:type="gramEnd"/>
                        <w:r w:rsidRPr="00BC0045">
                          <w:rPr>
                            <w:rFonts w:asciiTheme="minorEastAsia" w:hAnsiTheme="minorEastAsia" w:cs="Arial"/>
                            <w:kern w:val="0"/>
                            <w:sz w:val="24"/>
                            <w:szCs w:val="24"/>
                          </w:rPr>
                          <w:t>房屋占用费)，不得开支罚款、</w:t>
                        </w:r>
                        <w:r w:rsidRPr="00BC0045">
                          <w:rPr>
                            <w:rFonts w:asciiTheme="minorEastAsia" w:hAnsiTheme="minorEastAsia" w:cs="Arial"/>
                            <w:kern w:val="0"/>
                            <w:sz w:val="24"/>
                            <w:szCs w:val="24"/>
                          </w:rPr>
                          <w:lastRenderedPageBreak/>
                          <w:t>捐赠、赞助、投资等。</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第十六条  基本科研业务费所发生的会议费、差旅费、小额材料费和测试化验加工费等，应当按照《财政部科技部关于中央财政科研项目使用公务卡结算有关事项的通知》（财库〔2015〕245号）规定实行“公务卡”结算。劳务费、专家咨询费等支出，原则上应当通过银行转账方式结算，从严控制现金支付。</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第十七条  科研院所应当按照国家科研信用制度的有关要求，建立基本科研业务费的科研信用制度，并按照国家统一要求纳入国家科研信用体系。</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第十八条  基本科研业务费的资金支付应按照国库集中支付制度有关规定执行，属于政府采购范围的，应当按照政府采购的有关规定执行。</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第十九条 使用基本科研业务费形成的固定资产、无形资产等属于国有资产，应当按照国家国有资产管理有关规定进行管理。专项经费形成的科学数据、自然科技资源等，按照规定开放共享，并按规定提交科技报告。</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第二十条 基本科研业务费项目实施期间年度剩余资金可结转下一年度继续使用。连续两年未用完或者完成任务目标并通过验收、项目中止等形成的剩余资金，报财政部确认为可留归单位使用的结余资金后，由科研院所按照基本科研业务费的管理和使用要求在2年内统筹安排。</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第二十一条 科研院所为院所两级法人的单位，应当按照预决算管理的有关要求建立健全基本科研业务费的分级管理制度。</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第二十二条 科研院所应当严格遵守国家财政财务制度和财经纪律，规范和加强内部管理，自觉接受财政、审计、监察及主管部门的监督检查。</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第二十三条 科研院所应当根据本办法规定制定基本科研业务费的管理实施细则，报主管部门备案。</w:t>
                        </w:r>
                      </w:p>
                      <w:p w:rsidR="00BC0045" w:rsidRPr="00BC0045" w:rsidRDefault="00BC0045" w:rsidP="002143DE">
                        <w:pPr>
                          <w:widowControl/>
                          <w:spacing w:before="100" w:beforeAutospacing="1" w:after="100" w:afterAutospacing="1" w:line="360" w:lineRule="auto"/>
                          <w:jc w:val="left"/>
                          <w:rPr>
                            <w:rFonts w:asciiTheme="minorEastAsia" w:hAnsiTheme="minorEastAsia" w:cs="Arial"/>
                            <w:kern w:val="0"/>
                            <w:sz w:val="24"/>
                            <w:szCs w:val="24"/>
                          </w:rPr>
                        </w:pPr>
                        <w:r w:rsidRPr="00BC0045">
                          <w:rPr>
                            <w:rFonts w:asciiTheme="minorEastAsia" w:hAnsiTheme="minorEastAsia" w:cs="Arial"/>
                            <w:kern w:val="0"/>
                            <w:sz w:val="24"/>
                            <w:szCs w:val="24"/>
                          </w:rPr>
                          <w:t xml:space="preserve">　　第二十四条  本办法自印发之日起施行。《中央级公益性科研院所基本科研业务费专项资金管理办法（试行）》（</w:t>
                        </w:r>
                        <w:proofErr w:type="gramStart"/>
                        <w:r w:rsidRPr="00BC0045">
                          <w:rPr>
                            <w:rFonts w:asciiTheme="minorEastAsia" w:hAnsiTheme="minorEastAsia" w:cs="Arial"/>
                            <w:kern w:val="0"/>
                            <w:sz w:val="24"/>
                            <w:szCs w:val="24"/>
                          </w:rPr>
                          <w:t>财教〔2006〕</w:t>
                        </w:r>
                        <w:proofErr w:type="gramEnd"/>
                        <w:r w:rsidRPr="00BC0045">
                          <w:rPr>
                            <w:rFonts w:asciiTheme="minorEastAsia" w:hAnsiTheme="minorEastAsia" w:cs="Arial"/>
                            <w:kern w:val="0"/>
                            <w:sz w:val="24"/>
                            <w:szCs w:val="24"/>
                          </w:rPr>
                          <w:t>288号）同时废止。</w:t>
                        </w:r>
                      </w:p>
                    </w:tc>
                  </w:tr>
                </w:tbl>
                <w:p w:rsidR="00BC0045" w:rsidRPr="00BC0045" w:rsidRDefault="00BC0045" w:rsidP="00BC0045">
                  <w:pPr>
                    <w:widowControl/>
                    <w:spacing w:line="432" w:lineRule="auto"/>
                    <w:jc w:val="center"/>
                    <w:rPr>
                      <w:rFonts w:ascii="Arial" w:eastAsia="宋体" w:hAnsi="Arial" w:cs="Arial"/>
                      <w:kern w:val="0"/>
                      <w:sz w:val="18"/>
                      <w:szCs w:val="18"/>
                    </w:rPr>
                  </w:pPr>
                </w:p>
              </w:tc>
            </w:tr>
          </w:tbl>
          <w:p w:rsidR="00BC0045" w:rsidRPr="00BC0045" w:rsidRDefault="00BC0045" w:rsidP="00BC0045">
            <w:pPr>
              <w:widowControl/>
              <w:spacing w:line="432" w:lineRule="auto"/>
              <w:jc w:val="left"/>
              <w:rPr>
                <w:rFonts w:ascii="Arial" w:eastAsia="宋体" w:hAnsi="Arial" w:cs="Arial"/>
                <w:kern w:val="0"/>
                <w:sz w:val="18"/>
                <w:szCs w:val="18"/>
              </w:rPr>
            </w:pPr>
          </w:p>
        </w:tc>
        <w:bookmarkStart w:id="0" w:name="_GoBack"/>
        <w:bookmarkEnd w:id="0"/>
      </w:tr>
    </w:tbl>
    <w:p w:rsidR="00A07D16" w:rsidRPr="00BC0045" w:rsidRDefault="002143DE"/>
    <w:sectPr w:rsidR="00A07D16" w:rsidRPr="00BC0045" w:rsidSect="002143DE">
      <w:footerReference w:type="default" r:id="rId7"/>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45" w:rsidRDefault="00BC0045" w:rsidP="00BC0045">
      <w:r>
        <w:separator/>
      </w:r>
    </w:p>
  </w:endnote>
  <w:endnote w:type="continuationSeparator" w:id="0">
    <w:p w:rsidR="00BC0045" w:rsidRDefault="00BC0045" w:rsidP="00BC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05272"/>
      <w:docPartObj>
        <w:docPartGallery w:val="Page Numbers (Bottom of Page)"/>
        <w:docPartUnique/>
      </w:docPartObj>
    </w:sdtPr>
    <w:sdtContent>
      <w:p w:rsidR="00BC0045" w:rsidRDefault="00BC0045">
        <w:pPr>
          <w:pStyle w:val="a4"/>
          <w:jc w:val="center"/>
        </w:pPr>
        <w:r>
          <w:fldChar w:fldCharType="begin"/>
        </w:r>
        <w:r>
          <w:instrText>PAGE   \* MERGEFORMAT</w:instrText>
        </w:r>
        <w:r>
          <w:fldChar w:fldCharType="separate"/>
        </w:r>
        <w:r w:rsidR="002143DE" w:rsidRPr="002143DE">
          <w:rPr>
            <w:noProof/>
            <w:lang w:val="zh-CN"/>
          </w:rPr>
          <w:t>5</w:t>
        </w:r>
        <w:r>
          <w:fldChar w:fldCharType="end"/>
        </w:r>
      </w:p>
    </w:sdtContent>
  </w:sdt>
  <w:p w:rsidR="00BC0045" w:rsidRDefault="00BC00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45" w:rsidRDefault="00BC0045" w:rsidP="00BC0045">
      <w:r>
        <w:separator/>
      </w:r>
    </w:p>
  </w:footnote>
  <w:footnote w:type="continuationSeparator" w:id="0">
    <w:p w:rsidR="00BC0045" w:rsidRDefault="00BC0045" w:rsidP="00BC0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87"/>
    <w:rsid w:val="001C3521"/>
    <w:rsid w:val="002143DE"/>
    <w:rsid w:val="00B85687"/>
    <w:rsid w:val="00BC0045"/>
    <w:rsid w:val="00D5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045"/>
    <w:rPr>
      <w:sz w:val="18"/>
      <w:szCs w:val="18"/>
    </w:rPr>
  </w:style>
  <w:style w:type="paragraph" w:styleId="a4">
    <w:name w:val="footer"/>
    <w:basedOn w:val="a"/>
    <w:link w:val="Char0"/>
    <w:uiPriority w:val="99"/>
    <w:unhideWhenUsed/>
    <w:rsid w:val="00BC0045"/>
    <w:pPr>
      <w:tabs>
        <w:tab w:val="center" w:pos="4153"/>
        <w:tab w:val="right" w:pos="8306"/>
      </w:tabs>
      <w:snapToGrid w:val="0"/>
      <w:jc w:val="left"/>
    </w:pPr>
    <w:rPr>
      <w:sz w:val="18"/>
      <w:szCs w:val="18"/>
    </w:rPr>
  </w:style>
  <w:style w:type="character" w:customStyle="1" w:styleId="Char0">
    <w:name w:val="页脚 Char"/>
    <w:basedOn w:val="a0"/>
    <w:link w:val="a4"/>
    <w:uiPriority w:val="99"/>
    <w:rsid w:val="00BC00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045"/>
    <w:rPr>
      <w:sz w:val="18"/>
      <w:szCs w:val="18"/>
    </w:rPr>
  </w:style>
  <w:style w:type="paragraph" w:styleId="a4">
    <w:name w:val="footer"/>
    <w:basedOn w:val="a"/>
    <w:link w:val="Char0"/>
    <w:uiPriority w:val="99"/>
    <w:unhideWhenUsed/>
    <w:rsid w:val="00BC0045"/>
    <w:pPr>
      <w:tabs>
        <w:tab w:val="center" w:pos="4153"/>
        <w:tab w:val="right" w:pos="8306"/>
      </w:tabs>
      <w:snapToGrid w:val="0"/>
      <w:jc w:val="left"/>
    </w:pPr>
    <w:rPr>
      <w:sz w:val="18"/>
      <w:szCs w:val="18"/>
    </w:rPr>
  </w:style>
  <w:style w:type="character" w:customStyle="1" w:styleId="Char0">
    <w:name w:val="页脚 Char"/>
    <w:basedOn w:val="a0"/>
    <w:link w:val="a4"/>
    <w:uiPriority w:val="99"/>
    <w:rsid w:val="00BC0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2603">
      <w:bodyDiv w:val="1"/>
      <w:marLeft w:val="0"/>
      <w:marRight w:val="0"/>
      <w:marTop w:val="0"/>
      <w:marBottom w:val="0"/>
      <w:divBdr>
        <w:top w:val="none" w:sz="0" w:space="0" w:color="auto"/>
        <w:left w:val="none" w:sz="0" w:space="0" w:color="auto"/>
        <w:bottom w:val="none" w:sz="0" w:space="0" w:color="auto"/>
        <w:right w:val="none" w:sz="0" w:space="0" w:color="auto"/>
      </w:divBdr>
      <w:divsChild>
        <w:div w:id="244001719">
          <w:marLeft w:val="0"/>
          <w:marRight w:val="0"/>
          <w:marTop w:val="0"/>
          <w:marBottom w:val="0"/>
          <w:divBdr>
            <w:top w:val="none" w:sz="0" w:space="0" w:color="auto"/>
            <w:left w:val="none" w:sz="0" w:space="0" w:color="auto"/>
            <w:bottom w:val="none" w:sz="0" w:space="0" w:color="auto"/>
            <w:right w:val="none" w:sz="0" w:space="0" w:color="auto"/>
          </w:divBdr>
          <w:divsChild>
            <w:div w:id="2601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540</Words>
  <Characters>3084</Characters>
  <Application>Microsoft Office Word</Application>
  <DocSecurity>0</DocSecurity>
  <Lines>25</Lines>
  <Paragraphs>7</Paragraphs>
  <ScaleCrop>false</ScaleCrop>
  <Company>国际竹藤网络中心</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2016-07-27T03:00:00Z</dcterms:created>
  <dcterms:modified xsi:type="dcterms:W3CDTF">2016-07-27T03:02:00Z</dcterms:modified>
</cp:coreProperties>
</file>